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BC" w:rsidRDefault="00EB0DFB">
      <w:pPr>
        <w:pStyle w:val="a3"/>
        <w:spacing w:before="67"/>
        <w:ind w:left="0"/>
        <w:jc w:val="center"/>
      </w:pPr>
      <w:r>
        <w:t>Муниципальное</w:t>
      </w:r>
      <w:r>
        <w:rPr>
          <w:spacing w:val="-17"/>
        </w:rPr>
        <w:t xml:space="preserve"> </w:t>
      </w:r>
      <w:r>
        <w:t>бюджетное</w:t>
      </w:r>
      <w:bookmarkStart w:id="0" w:name="_GoBack"/>
      <w:bookmarkEnd w:id="0"/>
      <w:r>
        <w:rPr>
          <w:spacing w:val="-14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rPr>
          <w:spacing w:val="-2"/>
        </w:rPr>
        <w:t>учреждение</w:t>
      </w:r>
    </w:p>
    <w:p w:rsidR="007C5FBC" w:rsidRDefault="00EB0DFB">
      <w:pPr>
        <w:pStyle w:val="a3"/>
        <w:spacing w:before="2"/>
        <w:ind w:left="4"/>
        <w:jc w:val="center"/>
      </w:pP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 xml:space="preserve">поселка </w:t>
      </w:r>
      <w:proofErr w:type="spellStart"/>
      <w:r>
        <w:t>Новоульяновского</w:t>
      </w:r>
      <w:proofErr w:type="spellEnd"/>
      <w:r>
        <w:rPr>
          <w:spacing w:val="-2"/>
        </w:rPr>
        <w:t>»</w:t>
      </w:r>
    </w:p>
    <w:p w:rsidR="007C5FBC" w:rsidRDefault="007C5FBC">
      <w:pPr>
        <w:pStyle w:val="a3"/>
        <w:spacing w:before="321"/>
        <w:ind w:left="0" w:right="0"/>
        <w:jc w:val="left"/>
      </w:pPr>
    </w:p>
    <w:p w:rsidR="007C5FBC" w:rsidRDefault="00EB0DFB">
      <w:pPr>
        <w:pStyle w:val="a3"/>
        <w:spacing w:line="322" w:lineRule="exact"/>
        <w:ind w:left="0" w:right="139"/>
        <w:jc w:val="center"/>
      </w:pPr>
      <w:r>
        <w:rPr>
          <w:spacing w:val="-2"/>
        </w:rPr>
        <w:t>СЕМИНАР</w:t>
      </w:r>
    </w:p>
    <w:p w:rsidR="007C5FBC" w:rsidRDefault="00EB0DFB">
      <w:pPr>
        <w:pStyle w:val="a3"/>
        <w:ind w:left="0"/>
        <w:jc w:val="center"/>
      </w:pP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ВЫСОКИМ</w:t>
      </w:r>
      <w:r>
        <w:rPr>
          <w:spacing w:val="-12"/>
        </w:rPr>
        <w:t xml:space="preserve"> </w:t>
      </w:r>
      <w:r>
        <w:t>РИСКОМ УЧЕБНОЙ НЕУСПЕШНОСТИ</w:t>
      </w:r>
    </w:p>
    <w:p w:rsidR="007C5FBC" w:rsidRDefault="00EB0DFB">
      <w:pPr>
        <w:pStyle w:val="a3"/>
        <w:spacing w:before="2"/>
        <w:jc w:val="center"/>
      </w:pPr>
      <w:r>
        <w:t>Дата:</w:t>
      </w:r>
      <w:r>
        <w:rPr>
          <w:spacing w:val="-8"/>
        </w:rPr>
        <w:t xml:space="preserve"> </w:t>
      </w:r>
      <w:r>
        <w:rPr>
          <w:spacing w:val="-2"/>
        </w:rPr>
        <w:t>20.09.2024</w:t>
      </w:r>
    </w:p>
    <w:p w:rsidR="007C5FBC" w:rsidRDefault="00EB0DFB">
      <w:pPr>
        <w:pStyle w:val="a3"/>
        <w:spacing w:before="321" w:line="321" w:lineRule="exact"/>
        <w:jc w:val="center"/>
      </w:pPr>
      <w:r>
        <w:rPr>
          <w:spacing w:val="-2"/>
        </w:rPr>
        <w:t>ДОКЛАД</w:t>
      </w:r>
    </w:p>
    <w:p w:rsidR="007C5FBC" w:rsidRDefault="00EB0DFB">
      <w:pPr>
        <w:pStyle w:val="a3"/>
        <w:spacing w:line="321" w:lineRule="exact"/>
        <w:ind w:right="0"/>
        <w:jc w:val="left"/>
      </w:pPr>
      <w:r>
        <w:t>ТЕМА:</w:t>
      </w:r>
      <w:r>
        <w:rPr>
          <w:spacing w:val="-11"/>
        </w:rPr>
        <w:t xml:space="preserve"> </w:t>
      </w:r>
      <w:r>
        <w:t>Адресная</w:t>
      </w:r>
      <w:r>
        <w:rPr>
          <w:spacing w:val="-10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риском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неуспешности</w:t>
      </w:r>
      <w:proofErr w:type="spellEnd"/>
    </w:p>
    <w:p w:rsidR="007C5FBC" w:rsidRDefault="007C5FBC">
      <w:pPr>
        <w:pStyle w:val="a3"/>
        <w:ind w:left="0" w:right="0"/>
        <w:jc w:val="left"/>
      </w:pPr>
    </w:p>
    <w:p w:rsidR="007C5FBC" w:rsidRDefault="007C5FBC">
      <w:pPr>
        <w:pStyle w:val="a3"/>
        <w:spacing w:before="52"/>
        <w:ind w:left="0" w:right="0"/>
        <w:jc w:val="left"/>
      </w:pPr>
    </w:p>
    <w:p w:rsidR="007C5FBC" w:rsidRDefault="00EB0DFB">
      <w:pPr>
        <w:pStyle w:val="a3"/>
        <w:tabs>
          <w:tab w:val="left" w:pos="7026"/>
          <w:tab w:val="left" w:pos="7750"/>
          <w:tab w:val="left" w:pos="8264"/>
        </w:tabs>
        <w:ind w:left="4959" w:right="137"/>
      </w:pPr>
      <w:r>
        <w:rPr>
          <w:spacing w:val="-2"/>
        </w:rPr>
        <w:t>Докладчик:</w:t>
      </w:r>
      <w:r>
        <w:tab/>
      </w:r>
      <w:r>
        <w:tab/>
      </w:r>
      <w:r>
        <w:rPr>
          <w:spacing w:val="-4"/>
        </w:rPr>
        <w:t xml:space="preserve">руководитель </w:t>
      </w:r>
      <w:r>
        <w:rPr>
          <w:spacing w:val="-2"/>
        </w:rPr>
        <w:t>школьного</w:t>
      </w:r>
      <w:r>
        <w:tab/>
      </w:r>
      <w:r>
        <w:rPr>
          <w:spacing w:val="-6"/>
        </w:rPr>
        <w:t>МО</w:t>
      </w:r>
      <w:r>
        <w:tab/>
      </w:r>
      <w:r>
        <w:tab/>
      </w:r>
      <w:r>
        <w:rPr>
          <w:spacing w:val="-2"/>
        </w:rPr>
        <w:t xml:space="preserve">учителей </w:t>
      </w:r>
      <w:r>
        <w:t>гуманитарного цикла</w:t>
      </w:r>
    </w:p>
    <w:p w:rsidR="007C5FBC" w:rsidRDefault="00EB0DFB">
      <w:pPr>
        <w:pStyle w:val="a3"/>
        <w:spacing w:line="321" w:lineRule="exact"/>
        <w:ind w:left="4959" w:right="0"/>
      </w:pPr>
      <w:proofErr w:type="spellStart"/>
      <w:r>
        <w:t>Роженцева</w:t>
      </w:r>
      <w:proofErr w:type="spellEnd"/>
      <w:r>
        <w:t xml:space="preserve"> Маргарита Владимировна</w:t>
      </w:r>
    </w:p>
    <w:p w:rsidR="007C5FBC" w:rsidRDefault="007C5FBC">
      <w:pPr>
        <w:pStyle w:val="a3"/>
        <w:spacing w:before="184"/>
        <w:ind w:left="0" w:right="0"/>
        <w:jc w:val="left"/>
      </w:pPr>
    </w:p>
    <w:p w:rsidR="007C5FBC" w:rsidRDefault="00EB0DFB">
      <w:pPr>
        <w:pStyle w:val="a3"/>
        <w:spacing w:line="259" w:lineRule="auto"/>
        <w:ind w:firstLine="347"/>
      </w:pPr>
      <w:r>
        <w:t xml:space="preserve">Частой причиной учебной </w:t>
      </w:r>
      <w:proofErr w:type="spellStart"/>
      <w:r>
        <w:t>неуспешности</w:t>
      </w:r>
      <w:proofErr w:type="spellEnd"/>
      <w:r>
        <w:t xml:space="preserve"> обучающихся являются слабая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умений и/или существенные пробелы в базовой предметной подготовке.</w:t>
      </w:r>
    </w:p>
    <w:p w:rsidR="007C5FBC" w:rsidRDefault="00EB0DFB">
      <w:pPr>
        <w:pStyle w:val="a3"/>
        <w:spacing w:before="160" w:line="259" w:lineRule="auto"/>
        <w:ind w:right="139" w:firstLine="347"/>
      </w:pPr>
      <w:r>
        <w:t>На начало учебного года целесообразно провести диагностику обучающихся с трудностями в учебн</w:t>
      </w:r>
      <w:r>
        <w:t xml:space="preserve">ой деятельности по следующим </w:t>
      </w:r>
      <w:r>
        <w:rPr>
          <w:spacing w:val="-2"/>
        </w:rPr>
        <w:t>элементам:</w:t>
      </w:r>
    </w:p>
    <w:p w:rsidR="007C5FBC" w:rsidRDefault="00EB0DFB">
      <w:pPr>
        <w:pStyle w:val="a4"/>
        <w:numPr>
          <w:ilvl w:val="0"/>
          <w:numId w:val="1"/>
        </w:numPr>
        <w:tabs>
          <w:tab w:val="left" w:pos="167"/>
        </w:tabs>
        <w:ind w:left="167" w:hanging="16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информацией;</w:t>
      </w:r>
    </w:p>
    <w:p w:rsidR="007C5FBC" w:rsidRDefault="00EB0DFB">
      <w:pPr>
        <w:pStyle w:val="a4"/>
        <w:numPr>
          <w:ilvl w:val="0"/>
          <w:numId w:val="1"/>
        </w:numPr>
        <w:tabs>
          <w:tab w:val="left" w:pos="496"/>
          <w:tab w:val="left" w:pos="3160"/>
          <w:tab w:val="left" w:pos="5258"/>
          <w:tab w:val="left" w:pos="7583"/>
        </w:tabs>
        <w:spacing w:before="26" w:line="259" w:lineRule="auto"/>
        <w:ind w:right="144" w:firstLine="0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элементарных</w:t>
      </w:r>
      <w:r>
        <w:rPr>
          <w:sz w:val="28"/>
        </w:rPr>
        <w:tab/>
      </w:r>
      <w:r>
        <w:rPr>
          <w:spacing w:val="-2"/>
          <w:sz w:val="28"/>
        </w:rPr>
        <w:t>математических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представлений </w:t>
      </w:r>
      <w:r>
        <w:rPr>
          <w:sz w:val="28"/>
        </w:rPr>
        <w:t>(пространственных представлений, навыков счета и т.п.);</w:t>
      </w:r>
    </w:p>
    <w:p w:rsidR="007C5FBC" w:rsidRDefault="00EB0DFB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самокоррекции</w:t>
      </w:r>
      <w:proofErr w:type="spellEnd"/>
      <w:r>
        <w:rPr>
          <w:spacing w:val="-2"/>
          <w:sz w:val="28"/>
        </w:rPr>
        <w:t>;</w:t>
      </w:r>
    </w:p>
    <w:p w:rsidR="007C5FBC" w:rsidRDefault="00EB0DFB">
      <w:pPr>
        <w:pStyle w:val="a4"/>
        <w:numPr>
          <w:ilvl w:val="0"/>
          <w:numId w:val="1"/>
        </w:numPr>
        <w:tabs>
          <w:tab w:val="left" w:pos="512"/>
        </w:tabs>
        <w:spacing w:before="185" w:line="259" w:lineRule="auto"/>
        <w:ind w:right="135" w:firstLine="69"/>
        <w:jc w:val="both"/>
        <w:rPr>
          <w:sz w:val="28"/>
        </w:rPr>
      </w:pPr>
      <w:r>
        <w:rPr>
          <w:sz w:val="28"/>
        </w:rPr>
        <w:t>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</w:t>
      </w:r>
      <w:r>
        <w:rPr>
          <w:sz w:val="28"/>
        </w:rPr>
        <w:t>.</w:t>
      </w:r>
    </w:p>
    <w:p w:rsidR="007C5FBC" w:rsidRDefault="00EB0DFB">
      <w:pPr>
        <w:pStyle w:val="a3"/>
        <w:spacing w:before="160" w:line="259" w:lineRule="auto"/>
        <w:ind w:right="143" w:firstLine="417"/>
      </w:pPr>
      <w:r>
        <w:t>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учителя.</w:t>
      </w:r>
    </w:p>
    <w:p w:rsidR="007C5FBC" w:rsidRDefault="00EB0DFB">
      <w:pPr>
        <w:pStyle w:val="a3"/>
        <w:spacing w:before="159" w:line="259" w:lineRule="auto"/>
        <w:ind w:firstLine="347"/>
      </w:pPr>
      <w:r>
        <w:t xml:space="preserve">В зависимости от распространенности среди учеников класса конкретной проблемы </w:t>
      </w:r>
      <w:r>
        <w:t>в обучении выбираются индивидуальные или групповые формы организации учебной работы. В случае выявления проблем с грамотностью чтения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грамотностью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внимания</w:t>
      </w:r>
    </w:p>
    <w:p w:rsidR="007C5FBC" w:rsidRDefault="007C5FBC">
      <w:pPr>
        <w:pStyle w:val="a3"/>
        <w:spacing w:line="259" w:lineRule="auto"/>
        <w:sectPr w:rsidR="007C5FB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7C5FBC" w:rsidRDefault="00EB0DFB">
      <w:pPr>
        <w:pStyle w:val="a3"/>
        <w:spacing w:before="65" w:line="259" w:lineRule="auto"/>
        <w:ind w:right="143"/>
      </w:pPr>
      <w:r>
        <w:lastRenderedPageBreak/>
        <w:t>уделять работе с текстом учебника, детальному разбору содержания выдаваемых обучающимся заданий.</w:t>
      </w:r>
    </w:p>
    <w:p w:rsidR="007C5FBC" w:rsidRDefault="00EB0DFB">
      <w:pPr>
        <w:pStyle w:val="a3"/>
        <w:spacing w:before="161" w:line="259" w:lineRule="auto"/>
        <w:ind w:firstLine="278"/>
      </w:pPr>
      <w:r>
        <w:t xml:space="preserve">Моя система работы акцентирована на развитие у обучающихся навыков самоорганизации, контроля и коррекции результатов своей деятельности (например, посредством </w:t>
      </w:r>
      <w:r>
        <w:t>последовательно реализуемой совокупности требований к организации различных видов учебной деятельности, проверке результатов выполнения заданий).</w:t>
      </w:r>
    </w:p>
    <w:p w:rsidR="007C5FBC" w:rsidRDefault="00EB0DFB">
      <w:pPr>
        <w:pStyle w:val="a3"/>
        <w:spacing w:before="158" w:line="259" w:lineRule="auto"/>
        <w:ind w:firstLine="347"/>
      </w:pPr>
      <w:r>
        <w:t>Индивидуальные пробелы в предметной подготовке обучающихся устраняются за счет дополнительных занятий во внеур</w:t>
      </w:r>
      <w:r>
        <w:t>очное время, выдачи обучающимся индивидуальных заданий по повторению конкретного учебного материала</w:t>
      </w:r>
      <w:r>
        <w:rPr>
          <w:spacing w:val="-1"/>
        </w:rPr>
        <w:t xml:space="preserve"> </w:t>
      </w:r>
      <w:r>
        <w:t>к определенному уроку и обращения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ранее изученному в процессе освоения нового материала.</w:t>
      </w:r>
    </w:p>
    <w:p w:rsidR="007C5FBC" w:rsidRDefault="00EB0DFB">
      <w:pPr>
        <w:pStyle w:val="a3"/>
        <w:spacing w:before="160" w:line="259" w:lineRule="auto"/>
        <w:ind w:right="144" w:firstLine="347"/>
      </w:pPr>
      <w:r>
        <w:t xml:space="preserve">Наличие одинаковых существенных пробелов в предметной подготовке </w:t>
      </w:r>
      <w:r>
        <w:t>у значительного числа обучающихся класса требует создания коррекционных курсов, которые будут реализовываться во внеурочное время.</w:t>
      </w:r>
    </w:p>
    <w:p w:rsidR="007C5FBC" w:rsidRDefault="00EB0DFB">
      <w:pPr>
        <w:pStyle w:val="a3"/>
        <w:spacing w:before="159" w:line="259" w:lineRule="auto"/>
        <w:ind w:right="134" w:firstLine="487"/>
      </w:pPr>
      <w:r>
        <w:t>На сайте ФГБНУ «ФИПИ» размещены методические рекомендации по преподаванию учебных предметов (русского языка, литературы, мате</w:t>
      </w:r>
      <w:r>
        <w:t>матики, информатики, истории, обществознания, иностранных языков, биологии, географии, физики, химии) в образовательных организациях с высокой долей 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рисками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proofErr w:type="spellStart"/>
      <w:r>
        <w:t>неуспешности</w:t>
      </w:r>
      <w:proofErr w:type="spellEnd"/>
      <w:r>
        <w:t>.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выстроены</w:t>
      </w:r>
      <w:r>
        <w:rPr>
          <w:spacing w:val="-4"/>
        </w:rPr>
        <w:t xml:space="preserve"> </w:t>
      </w:r>
      <w:r>
        <w:t>на основе анализа проблем подготовки участников ЕГЭ, балансирующих на грани преодоления минимального балла по соответствующим учебным предметам. Рекомендации ориентированы на организацию преподавания учебных предметов в 10-11- х классах и учитывают специфи</w:t>
      </w:r>
      <w:r>
        <w:t>ку конкретных учебных предметов.</w:t>
      </w:r>
      <w:r>
        <w:rPr>
          <w:spacing w:val="-4"/>
        </w:rPr>
        <w:t xml:space="preserve"> </w:t>
      </w:r>
      <w:r>
        <w:t>Рекомендации содержат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 подходы к корректировке образовательных программ / примеры образовательных программ компенсирующего уровня, изменению методики работы учителя- предметника, а также советы по организации подготов</w:t>
      </w:r>
      <w:r>
        <w:t xml:space="preserve">ки к ЕГЭ. Ссылка на методические рекомендации ФГБНУ «ФИПИ»: </w:t>
      </w:r>
      <w:hyperlink r:id="rId5">
        <w:r>
          <w:rPr>
            <w:color w:val="0462C1"/>
            <w:u w:val="single" w:color="0462C1"/>
          </w:rPr>
          <w:t>https://fipi.ru/metodicheskaya-</w:t>
        </w:r>
      </w:hyperlink>
      <w:r>
        <w:rPr>
          <w:color w:val="0462C1"/>
        </w:rPr>
        <w:t xml:space="preserve"> </w:t>
      </w:r>
      <w:hyperlink r:id="rId6">
        <w:proofErr w:type="spellStart"/>
        <w:r>
          <w:rPr>
            <w:color w:val="0462C1"/>
            <w:spacing w:val="-2"/>
            <w:u w:val="single" w:color="0462C1"/>
          </w:rPr>
          <w:t>kopilka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  <w:proofErr w:type="spellStart"/>
        <w:r>
          <w:rPr>
            <w:color w:val="0462C1"/>
            <w:spacing w:val="-2"/>
            <w:u w:val="single" w:color="0462C1"/>
          </w:rPr>
          <w:t>metod-rekomendatsii-dlya-slabykh-shkol</w:t>
        </w:r>
        <w:proofErr w:type="spellEnd"/>
      </w:hyperlink>
    </w:p>
    <w:p w:rsidR="007C5FBC" w:rsidRDefault="00EB0DFB">
      <w:pPr>
        <w:pStyle w:val="a3"/>
        <w:spacing w:before="157" w:line="259" w:lineRule="auto"/>
        <w:ind w:right="142"/>
      </w:pPr>
      <w:r>
        <w:t>Адресная работа с обучающимся осуществляется обычно по плану индивидуальной работы. Он включает необходимые мероприятия, исполнителей, сроки.</w:t>
      </w:r>
    </w:p>
    <w:p w:rsidR="007C5FBC" w:rsidRDefault="00EB0DFB">
      <w:pPr>
        <w:pStyle w:val="a3"/>
        <w:spacing w:before="159" w:line="259" w:lineRule="auto"/>
        <w:ind w:right="138" w:firstLine="417"/>
      </w:pPr>
      <w:r>
        <w:t>Все педагоги методического объединени</w:t>
      </w:r>
      <w:r>
        <w:t>я учителей гуманитарного цикла разработали планы работы с детьми,</w:t>
      </w:r>
      <w:r>
        <w:rPr>
          <w:spacing w:val="-1"/>
        </w:rPr>
        <w:t xml:space="preserve"> </w:t>
      </w:r>
      <w:r>
        <w:t xml:space="preserve">испытывающими трудности в обучении, составили графики проведения </w:t>
      </w:r>
      <w:proofErr w:type="gramStart"/>
      <w:r>
        <w:t>индивидуальных занятий</w:t>
      </w:r>
      <w:proofErr w:type="gramEnd"/>
      <w:r>
        <w:t xml:space="preserve"> направленных на ликвидацию западающих тем. Все обучающиеся вовлечены во внеурочную деятельность и охва</w:t>
      </w:r>
      <w:r>
        <w:t>чены дополнительным образованием.</w:t>
      </w:r>
    </w:p>
    <w:sectPr w:rsidR="007C5FB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E6896"/>
    <w:multiLevelType w:val="hybridMultilevel"/>
    <w:tmpl w:val="29B09A02"/>
    <w:lvl w:ilvl="0" w:tplc="E7EE2F88">
      <w:numFmt w:val="bullet"/>
      <w:lvlText w:val="-"/>
      <w:lvlJc w:val="left"/>
      <w:pPr>
        <w:ind w:left="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C6B1F8">
      <w:numFmt w:val="bullet"/>
      <w:lvlText w:val="•"/>
      <w:lvlJc w:val="left"/>
      <w:pPr>
        <w:ind w:left="949" w:hanging="166"/>
      </w:pPr>
      <w:rPr>
        <w:rFonts w:hint="default"/>
        <w:lang w:val="ru-RU" w:eastAsia="en-US" w:bidi="ar-SA"/>
      </w:rPr>
    </w:lvl>
    <w:lvl w:ilvl="2" w:tplc="EC18F316">
      <w:numFmt w:val="bullet"/>
      <w:lvlText w:val="•"/>
      <w:lvlJc w:val="left"/>
      <w:pPr>
        <w:ind w:left="1899" w:hanging="166"/>
      </w:pPr>
      <w:rPr>
        <w:rFonts w:hint="default"/>
        <w:lang w:val="ru-RU" w:eastAsia="en-US" w:bidi="ar-SA"/>
      </w:rPr>
    </w:lvl>
    <w:lvl w:ilvl="3" w:tplc="180873C0">
      <w:numFmt w:val="bullet"/>
      <w:lvlText w:val="•"/>
      <w:lvlJc w:val="left"/>
      <w:pPr>
        <w:ind w:left="2849" w:hanging="166"/>
      </w:pPr>
      <w:rPr>
        <w:rFonts w:hint="default"/>
        <w:lang w:val="ru-RU" w:eastAsia="en-US" w:bidi="ar-SA"/>
      </w:rPr>
    </w:lvl>
    <w:lvl w:ilvl="4" w:tplc="FFD8957E">
      <w:numFmt w:val="bullet"/>
      <w:lvlText w:val="•"/>
      <w:lvlJc w:val="left"/>
      <w:pPr>
        <w:ind w:left="3799" w:hanging="166"/>
      </w:pPr>
      <w:rPr>
        <w:rFonts w:hint="default"/>
        <w:lang w:val="ru-RU" w:eastAsia="en-US" w:bidi="ar-SA"/>
      </w:rPr>
    </w:lvl>
    <w:lvl w:ilvl="5" w:tplc="9B081716">
      <w:numFmt w:val="bullet"/>
      <w:lvlText w:val="•"/>
      <w:lvlJc w:val="left"/>
      <w:pPr>
        <w:ind w:left="4749" w:hanging="166"/>
      </w:pPr>
      <w:rPr>
        <w:rFonts w:hint="default"/>
        <w:lang w:val="ru-RU" w:eastAsia="en-US" w:bidi="ar-SA"/>
      </w:rPr>
    </w:lvl>
    <w:lvl w:ilvl="6" w:tplc="F58CAAC2">
      <w:numFmt w:val="bullet"/>
      <w:lvlText w:val="•"/>
      <w:lvlJc w:val="left"/>
      <w:pPr>
        <w:ind w:left="5699" w:hanging="166"/>
      </w:pPr>
      <w:rPr>
        <w:rFonts w:hint="default"/>
        <w:lang w:val="ru-RU" w:eastAsia="en-US" w:bidi="ar-SA"/>
      </w:rPr>
    </w:lvl>
    <w:lvl w:ilvl="7" w:tplc="7FF44A48">
      <w:numFmt w:val="bullet"/>
      <w:lvlText w:val="•"/>
      <w:lvlJc w:val="left"/>
      <w:pPr>
        <w:ind w:left="6648" w:hanging="166"/>
      </w:pPr>
      <w:rPr>
        <w:rFonts w:hint="default"/>
        <w:lang w:val="ru-RU" w:eastAsia="en-US" w:bidi="ar-SA"/>
      </w:rPr>
    </w:lvl>
    <w:lvl w:ilvl="8" w:tplc="0F546DA2">
      <w:numFmt w:val="bullet"/>
      <w:lvlText w:val="•"/>
      <w:lvlJc w:val="left"/>
      <w:pPr>
        <w:ind w:left="7598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FBC"/>
    <w:rsid w:val="007C5FBC"/>
    <w:rsid w:val="00E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F7A"/>
  <w15:docId w15:val="{378AA17C-5B64-41BF-973E-542CFC1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2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metod-rekomendatsii-dlya-slabykh-shkol" TargetMode="External"/><Relationship Id="rId5" Type="http://schemas.openxmlformats.org/officeDocument/2006/relationships/hyperlink" Target="https://fipi.ru/metodicheskaya-kopilka/metod-rekomendatsii-dlya-slabykh-shk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2</cp:revision>
  <dcterms:created xsi:type="dcterms:W3CDTF">2025-05-26T10:34:00Z</dcterms:created>
  <dcterms:modified xsi:type="dcterms:W3CDTF">2025-05-26T10:37:00Z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